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E1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1：</w:t>
      </w:r>
    </w:p>
    <w:p w14:paraId="27D70F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安徽医科大学博士后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合作导师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管理办法</w:t>
      </w:r>
    </w:p>
    <w:p w14:paraId="6B218D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1756D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第一条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为进一步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完善博士后合作导师管理，提升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博士后研究人员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引进和培育质量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结合学校实际，特制定本办法。</w:t>
      </w:r>
    </w:p>
    <w:p w14:paraId="6EA203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第二条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博士后合作导师职责：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履行上级部门及学校关于师德师风和导师立德树人等相关文件规定，对博士后进行思想政治教育、法纪教育和道德修养教育；指导博士后科研工作，培养博士后学术创新能力和实践创新能力；帮助博士后解决生活和工作中遇到的困难。</w:t>
      </w:r>
    </w:p>
    <w:p w14:paraId="28ADF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流动站合作导师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的认定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条件</w:t>
      </w:r>
    </w:p>
    <w:p w14:paraId="3C3C25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1.遵纪守法，热爱教学，治学严谨，师德高尚。</w:t>
      </w:r>
    </w:p>
    <w:p w14:paraId="44333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2.具有正高级职称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，具有我校科学学位博士生导师资格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招收博士后时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在岗年限</w:t>
      </w:r>
      <w:r>
        <w:rPr>
          <w:rFonts w:hint="eastAsia" w:eastAsia="方正仿宋_GBK" w:cs="Times New Roman"/>
          <w:kern w:val="0"/>
          <w:sz w:val="32"/>
          <w:szCs w:val="32"/>
          <w:highlight w:val="none"/>
          <w:lang w:val="en-US" w:eastAsia="zh-CN"/>
        </w:rPr>
        <w:t>（含延退、返聘）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应不少于三年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上级部门或学校有其他相关规定的，按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规定执行。</w:t>
      </w:r>
    </w:p>
    <w:p w14:paraId="04CD09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.主持过国家级纵向科研项目（限国家自然科学面上基金、国家重大科技专项、科技支撑项目等），且目前在研经费50万元以上或主持横向科研项目到校研究经费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0万元及以上。</w:t>
      </w:r>
    </w:p>
    <w:p w14:paraId="46FE6A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第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合作导师如有违反师德师风、违法乱纪等行为，实行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一票否决制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，取消其合作导师资格。</w:t>
      </w:r>
    </w:p>
    <w:p w14:paraId="57D2AD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第</w:t>
      </w:r>
      <w:r>
        <w:rPr>
          <w:rFonts w:hint="eastAsia" w:eastAsia="方正仿宋_GBK" w:cs="Times New Roman"/>
          <w:b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博士后合作导师待遇：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每指导1名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全职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博士后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给予2万元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（税前，下同）生活补贴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，在博士后进站当年随年终奖励性绩效工资一次性发放1万元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剩余1万元在博士后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按期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完成工作任务出站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时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发放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合作导师指导博士后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以安徽医科大学为依托单位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获批国家自然科学基金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，每指导1名博士后获得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国家自然科学基金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中国博士后科学基金创新人才支持计划、中国博士后科学基金特别资助（站前或站中）等国家级基金项目，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学校给予合作导师项目任务书下拨经费总额的5%作为奖励（税前），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叠加。</w:t>
      </w:r>
      <w:r>
        <w:rPr>
          <w:rFonts w:hint="eastAsia" w:eastAsia="方正仿宋_GBK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如合作导师超过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1人，由导师协商申领奖励。</w:t>
      </w:r>
    </w:p>
    <w:p w14:paraId="661B29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第</w:t>
      </w:r>
      <w:r>
        <w:rPr>
          <w:rFonts w:hint="eastAsia" w:eastAsia="方正仿宋_GBK" w:cs="Times New Roman"/>
          <w:b/>
          <w:bCs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博管办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原则上每年组织一次博士后合作导师认定，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已认定的博士后合作导师不再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重复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申请认定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学校柔性引进人才和全职引进人才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博士后合作导师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认定参照学校相关规定执行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2A877D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第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本办法由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博管办负责解释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自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印发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之日起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执行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直属附属医院根据本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，制订博士后合作导师管理办法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14D29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3F3B5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932FF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9F2441-435A-4C4E-90C3-EC6504E401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6823B4-FF14-415C-910C-EBCC6834DB3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56CF2A1-DB37-40E4-82FB-8FFB71DC11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C748C98-555F-4E3E-B7A9-ECF46B5044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mUzYmQ2NDdmMmUwODc0NzljNzIyZWRiZmQ1OTUifQ=="/>
    <w:docVar w:name="KSO_WPS_MARK_KEY" w:val="28e9e703-cd1e-4035-9b8d-852ec83c50f0"/>
  </w:docVars>
  <w:rsids>
    <w:rsidRoot w:val="00000000"/>
    <w:rsid w:val="003D1DF4"/>
    <w:rsid w:val="037D366A"/>
    <w:rsid w:val="03E73B15"/>
    <w:rsid w:val="06397A44"/>
    <w:rsid w:val="087D37AB"/>
    <w:rsid w:val="093A6256"/>
    <w:rsid w:val="0CA42378"/>
    <w:rsid w:val="0EEF448F"/>
    <w:rsid w:val="109923C0"/>
    <w:rsid w:val="10F16DCD"/>
    <w:rsid w:val="114C57E6"/>
    <w:rsid w:val="12DD212E"/>
    <w:rsid w:val="13EE11F5"/>
    <w:rsid w:val="16037ACB"/>
    <w:rsid w:val="16557DFE"/>
    <w:rsid w:val="16C472B4"/>
    <w:rsid w:val="17744BFD"/>
    <w:rsid w:val="17DD62FD"/>
    <w:rsid w:val="1B576559"/>
    <w:rsid w:val="24D868CE"/>
    <w:rsid w:val="26C1503C"/>
    <w:rsid w:val="277C5F13"/>
    <w:rsid w:val="2DF10658"/>
    <w:rsid w:val="2FFE4C0B"/>
    <w:rsid w:val="30534F57"/>
    <w:rsid w:val="329D137C"/>
    <w:rsid w:val="33A61841"/>
    <w:rsid w:val="33C44E1A"/>
    <w:rsid w:val="34784F8C"/>
    <w:rsid w:val="34CE4A8D"/>
    <w:rsid w:val="35577297"/>
    <w:rsid w:val="356D2033"/>
    <w:rsid w:val="38D64977"/>
    <w:rsid w:val="3EFF226B"/>
    <w:rsid w:val="3F7653B4"/>
    <w:rsid w:val="408F6533"/>
    <w:rsid w:val="414D0C5E"/>
    <w:rsid w:val="41636733"/>
    <w:rsid w:val="41F9379C"/>
    <w:rsid w:val="43143CD2"/>
    <w:rsid w:val="44BD57C5"/>
    <w:rsid w:val="47177C42"/>
    <w:rsid w:val="48623B31"/>
    <w:rsid w:val="48847F4B"/>
    <w:rsid w:val="49F83D29"/>
    <w:rsid w:val="4B671D18"/>
    <w:rsid w:val="4B9D5B0C"/>
    <w:rsid w:val="4D6E50DD"/>
    <w:rsid w:val="4EEA7A0D"/>
    <w:rsid w:val="5013762D"/>
    <w:rsid w:val="522E6840"/>
    <w:rsid w:val="533E33EC"/>
    <w:rsid w:val="55717CB4"/>
    <w:rsid w:val="57923D07"/>
    <w:rsid w:val="5E6556AE"/>
    <w:rsid w:val="5F995525"/>
    <w:rsid w:val="640E1F43"/>
    <w:rsid w:val="644F03F0"/>
    <w:rsid w:val="64D12312"/>
    <w:rsid w:val="663D7ABE"/>
    <w:rsid w:val="70EB0151"/>
    <w:rsid w:val="78C7455F"/>
    <w:rsid w:val="7A066163"/>
    <w:rsid w:val="7B013E83"/>
    <w:rsid w:val="7B0C32FE"/>
    <w:rsid w:val="7D96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811</Characters>
  <Lines>0</Lines>
  <Paragraphs>0</Paragraphs>
  <TotalTime>1</TotalTime>
  <ScaleCrop>false</ScaleCrop>
  <LinksUpToDate>false</LinksUpToDate>
  <CharactersWithSpaces>818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2023-11-22T03:06:00Z</dcterms:created>
  <dc:creator>LC</dc:creator>
  <cp:lastModifiedBy>曲岸晴空</cp:lastModifiedBy>
  <cp:lastPrinted>2024-07-17T09:29:00Z</cp:lastPrinted>
  <dcterms:modified xsi:type="dcterms:W3CDTF">2024-08-16T03:30:38Z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A348FE00C575487E9AFD2E0F3043B5B9_12</vt:lpwstr>
  </property>
</Properties>
</file>